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4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643-т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2024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от 29 ноября 2020 года № 142-т </w:t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22 октября 2012 года № 1075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</w:t>
        <w:br/>
        <w:t xml:space="preserve">в сфере теплоснабжения»,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29 ноября 2020 года № 142-т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тарифов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Мужи, села Восяхово, села Шурышкары муниципального образования муниципальный округ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 Шурышкарский район Ямало-Ненецкого автономного округа, </w:t>
        <w:br/>
        <w:t xml:space="preserve">и долгосрочных параметров регулирования тарифов на 2020 - 2025 годы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которо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е вноси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приложения №№ 1, 2 к приказу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приказ депа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ртамента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Ямало-Ненецкого автономного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142-т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6"/>
        <w:ind w:left="0" w:firstLine="708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 </w:t>
      </w:r>
      <w:r>
        <w:rPr>
          <w:rFonts w:ascii="Liberation Sans" w:hAnsi="Liberation Sans" w:eastAsia="Liberation Serif" w:cs="Liberation Sans"/>
          <w:sz w:val="24"/>
          <w:highlight w:val="none"/>
        </w:rPr>
        <w:t xml:space="preserve">Приложения №№ 1, 2 изложить в следующей редакции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: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от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29 ноября 2020 года № 142-т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(в редакции приказа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923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923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923"/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села Мужи, села Восяхово, села Шурышкары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2020 – 2025 годы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1"/>
        <w:jc w:val="center"/>
        <w:widowControl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41"/>
        <w:jc w:val="right"/>
        <w:widowControl/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1</w: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6"/>
        <w:gridCol w:w="2414"/>
        <w:gridCol w:w="2001"/>
        <w:gridCol w:w="1163"/>
        <w:gridCol w:w="2019"/>
        <w:gridCol w:w="1046"/>
        <w:gridCol w:w="862"/>
        <w:gridCol w:w="1145"/>
        <w:gridCol w:w="973"/>
        <w:gridCol w:w="979"/>
        <w:gridCol w:w="1911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12090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12439</w:t>
            </w:r>
            <w:r>
              <w:rPr>
                <w:rFonts w:ascii="Liberation Sans" w:hAnsi="Liberation Sans" w:cs="Liberation Sans"/>
                <w:color w:val="ff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  <w:color w:val="ff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5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62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17416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01.01.2025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17416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01.07.2025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31.12.2025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  <w:highlight w:val="yellow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20101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</w:tbl>
    <w:p>
      <w:pPr>
        <w:contextualSpacing/>
        <w:ind w:right="-315"/>
        <w:jc w:val="both"/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  <w:color w:val="ffffff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214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1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142-т</w:t>
      </w:r>
      <w:r>
        <w:rPr>
          <w:rFonts w:ascii="Liberation Sans" w:hAnsi="Liberation Sans" w:cs="Liberation Sans"/>
          <w:sz w:val="24"/>
        </w:rPr>
      </w:r>
      <w:r/>
    </w:p>
    <w:p>
      <w:pPr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2024 года № 643-т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  <w:t xml:space="preserve">)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ind w:right="-173"/>
        <w:jc w:val="both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41"/>
        <w:widowControl/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  <w:b w:val="0"/>
        </w:rPr>
      </w:r>
      <w:r/>
    </w:p>
    <w:p>
      <w:pPr>
        <w:pStyle w:val="841"/>
        <w:jc w:val="center"/>
        <w:widowControl/>
      </w:pPr>
      <w:r>
        <w:rPr>
          <w:rFonts w:ascii="Liberation Sans" w:hAnsi="Liberation Sans" w:eastAsia="Liberation Serif" w:cs="Liberation Sans"/>
          <w:b w:val="0"/>
        </w:rPr>
        <w:t xml:space="preserve">Льготные тарифы на тепловую энергию (мощность), производимую филиалом акционерного общества «Ямалкоммунэнерго» </w:t>
        <w:br/>
        <w:t xml:space="preserve">в Шурышкарском районе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Мужи, села Восяхово, села Шурышкары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</w:rPr>
        <w:t xml:space="preserve">, </w:t>
      </w:r>
      <w:r>
        <w:rPr>
          <w:rFonts w:ascii="Liberation Sans" w:hAnsi="Liberation Sans" w:eastAsia="Liberation Serif" w:cs="Liberation Sans"/>
          <w:b w:val="0"/>
        </w:rPr>
        <w:t xml:space="preserve">на 2020 – 2025 годы</w:t>
      </w:r>
      <w:r>
        <w:rPr>
          <w:rFonts w:ascii="Liberation Sans" w:hAnsi="Liberation Sans" w:cs="Liberation Sans"/>
          <w:b w:val="0"/>
        </w:rPr>
      </w:r>
      <w:r/>
    </w:p>
    <w:p>
      <w:pPr>
        <w:pStyle w:val="841"/>
        <w:jc w:val="right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cs="Liberation Sans"/>
          <w:b w:val="0"/>
          <w:bCs w:val="0"/>
          <w:highlight w:val="none"/>
        </w:rPr>
      </w:r>
      <w:r/>
    </w:p>
    <w:p>
      <w:pPr>
        <w:pStyle w:val="841"/>
        <w:jc w:val="right"/>
        <w:widowControl/>
        <w:rPr>
          <w:rFonts w:ascii="Liberation Sans" w:hAnsi="Liberation Sans" w:cs="Liberation Sans"/>
          <w:b w:val="0"/>
          <w:bCs w:val="0"/>
          <w:highlight w:val="none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</w:rPr>
        <w:t xml:space="preserve">Таблица 1</w:t>
      </w:r>
      <w:r>
        <w:rPr>
          <w:b w:val="0"/>
          <w:bCs w:val="0"/>
        </w:rPr>
      </w:r>
      <w:r/>
    </w:p>
    <w:tbl>
      <w:tblPr>
        <w:tblW w:w="51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468"/>
        <w:gridCol w:w="1988"/>
        <w:gridCol w:w="1243"/>
        <w:gridCol w:w="2006"/>
        <w:gridCol w:w="1082"/>
        <w:gridCol w:w="814"/>
        <w:gridCol w:w="1168"/>
        <w:gridCol w:w="1002"/>
        <w:gridCol w:w="909"/>
        <w:gridCol w:w="1922"/>
      </w:tblGrid>
      <w:tr>
        <w:trPr>
          <w:jc w:val="center"/>
        </w:trPr>
        <w:tc>
          <w:tcPr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19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12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0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4"/>
            <w:tcW w:w="38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9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2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20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1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  <w:tc>
          <w:tcPr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9"/>
            <w:tcBorders>
              <w:bottom w:val="single" w:color="000000" w:sz="4" w:space="0"/>
            </w:tcBorders>
            <w:tcW w:w="1213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lang w:val="en-US"/>
              </w:rPr>
              <w:t xml:space="preserve">1307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lang w:val="en-US"/>
              </w:rPr>
              <w:t xml:space="preserve">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1734,70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13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highlight w:val="white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highlight w:val="white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1909,76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1909,76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2081,64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</w:tbl>
    <w:p>
      <w:pPr>
        <w:ind w:left="-142" w:right="-170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льготы, указанные 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гаражные, гаражно-строительные кооперативы, товарищества собственников недвижимости, созданные в целях управления общим имуществом в границах территории гаражного назначения, управляющие организации, осуществляющие управление общим имуществом в гаражном ко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мплексе по договору управления общим имуществом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выпадающих доходов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ind w:left="-142" w:right="-170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потребители тепловой энергии (мощности), имеющие право на льготы,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  <w:highlight w:val="white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а также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члены гаражных, гаражно-строительных кооперативов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Liberation Sans" w:hAnsi="Liberation Sans" w:eastAsia="Times New Roman" w:cs="Liberation Sans"/>
          <w:color w:val="000000"/>
          <w:sz w:val="20"/>
          <w:szCs w:val="20"/>
          <w:highlight w:val="white"/>
        </w:rPr>
        <w:t xml:space="preserve">собственники гаражей в границах территории гаражного назначения, собственники гаражей в гаражных, гаражно-строительных кооперативах, собственники машино-мест и нежилых помещений в гаражном комплексе,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указанные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в пункте 5 </w:t>
      </w:r>
      <w:r>
        <w:rPr>
          <w:rFonts w:ascii="Liberation Sans" w:hAnsi="Liberation Sans" w:cs="Liberation Sans"/>
          <w:sz w:val="20"/>
          <w:szCs w:val="20"/>
          <w:highlight w:val="white"/>
        </w:rPr>
        <w:t xml:space="preserve">части 1 статьи 3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н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white"/>
        </w:rPr>
        <w:t xml:space="preserve">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pStyle w:val="831"/>
        <w:ind w:left="-142" w:right="-170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20"/>
          <w:szCs w:val="20"/>
        </w:rPr>
        <w:t xml:space="preserve"> Налогового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кодекса Российской Федерации (часть вторая). </w:t>
      </w:r>
      <w:r>
        <w:rPr>
          <w:sz w:val="20"/>
          <w:szCs w:val="20"/>
        </w:rPr>
      </w:r>
      <w:r/>
    </w:p>
    <w:p>
      <w:pPr>
        <w:pStyle w:val="831"/>
        <w:ind w:left="-142" w:right="-170" w:firstLine="709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ния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                                         </w:t>
        <w:tab/>
        <w:tab/>
        <w:tab/>
        <w:tab/>
        <w:tab/>
        <w:tab/>
        <w:tab/>
        <w:tab/>
        <w:tab/>
        <w:t xml:space="preserve">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850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modified xsi:type="dcterms:W3CDTF">2024-12-23T09:07:39Z</dcterms:modified>
</cp:coreProperties>
</file>